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ED1F2" w14:textId="2FDCB5EA" w:rsidR="001A5A88" w:rsidRDefault="001A5A88" w:rsidP="001A5A88">
      <w:r>
        <w:t xml:space="preserve">Dear </w:t>
      </w:r>
      <w:r w:rsidR="003A4F6F">
        <w:t>Accounting &amp; Financial Women’s Alliance</w:t>
      </w:r>
      <w:r w:rsidR="00DB7CE2">
        <w:t xml:space="preserve"> </w:t>
      </w:r>
      <w:r>
        <w:t>Member,</w:t>
      </w:r>
    </w:p>
    <w:p w14:paraId="1858F28E" w14:textId="77777777" w:rsidR="001A5A88" w:rsidRDefault="001A5A88" w:rsidP="001A5A88"/>
    <w:p w14:paraId="275DE98F" w14:textId="64C0170C" w:rsidR="001A5A88" w:rsidRDefault="001A5A88" w:rsidP="001A5A88">
      <w:r>
        <w:t xml:space="preserve">Order your </w:t>
      </w:r>
      <w:proofErr w:type="spellStart"/>
      <w:r>
        <w:t>Quickfinders</w:t>
      </w:r>
      <w:proofErr w:type="spellEnd"/>
      <w:r>
        <w:t xml:space="preserve"> early and save BIG!  Save up to 25% off and get free shipping with online orders of 3 or more products!  With Quickfinder quantity discount pricing, the more you buy, the more you save.  Plus, ordering online by June 30</w:t>
      </w:r>
      <w:r w:rsidRPr="001A5A88">
        <w:rPr>
          <w:vertAlign w:val="superscript"/>
        </w:rPr>
        <w:t>th</w:t>
      </w:r>
      <w:r>
        <w:t xml:space="preserve"> will give you FREE</w:t>
      </w:r>
      <w:bookmarkStart w:id="0" w:name="_GoBack"/>
      <w:bookmarkEnd w:id="0"/>
      <w:r>
        <w:t xml:space="preserve"> shipping when you order 3 or more products.  Order now to save BIG with </w:t>
      </w:r>
      <w:r w:rsidR="003A4F6F">
        <w:t>AFWA</w:t>
      </w:r>
      <w:r>
        <w:t>!</w:t>
      </w:r>
    </w:p>
    <w:p w14:paraId="58D5E0B9" w14:textId="77777777" w:rsidR="001A5A88" w:rsidRDefault="001A5A88" w:rsidP="001A5A88"/>
    <w:p w14:paraId="201B07E1" w14:textId="5D41CC71" w:rsidR="001A5A88" w:rsidRDefault="001A5A88" w:rsidP="001A5A88">
      <w:pPr>
        <w:jc w:val="center"/>
      </w:pPr>
      <w:r>
        <w:rPr>
          <w:noProof/>
        </w:rPr>
        <w:drawing>
          <wp:inline distT="0" distB="0" distL="0" distR="0" wp14:anchorId="404CFAEB" wp14:editId="3841058C">
            <wp:extent cx="5486400" cy="2837815"/>
            <wp:effectExtent l="0" t="0" r="0" b="635"/>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5486400" cy="2837815"/>
                    </a:xfrm>
                    <a:prstGeom prst="rect">
                      <a:avLst/>
                    </a:prstGeom>
                  </pic:spPr>
                </pic:pic>
              </a:graphicData>
            </a:graphic>
          </wp:inline>
        </w:drawing>
      </w:r>
    </w:p>
    <w:p w14:paraId="480A0114" w14:textId="77777777" w:rsidR="001A5A88" w:rsidRDefault="001A5A88" w:rsidP="001A5A88">
      <w:pPr>
        <w:shd w:val="clear" w:color="auto" w:fill="F6F6F6"/>
        <w:spacing w:after="150" w:line="195" w:lineRule="atLeast"/>
        <w:rPr>
          <w:rFonts w:ascii="Arial" w:hAnsi="Arial" w:cs="Arial"/>
          <w:color w:val="333333"/>
          <w:sz w:val="17"/>
          <w:szCs w:val="17"/>
        </w:rPr>
      </w:pPr>
    </w:p>
    <w:tbl>
      <w:tblPr>
        <w:tblW w:w="4000" w:type="pct"/>
        <w:tblInd w:w="879" w:type="dxa"/>
        <w:tblCellMar>
          <w:left w:w="0" w:type="dxa"/>
          <w:right w:w="0" w:type="dxa"/>
        </w:tblCellMar>
        <w:tblLook w:val="04A0" w:firstRow="1" w:lastRow="0" w:firstColumn="1" w:lastColumn="0" w:noHBand="0" w:noVBand="1"/>
      </w:tblPr>
      <w:tblGrid>
        <w:gridCol w:w="2669"/>
        <w:gridCol w:w="4243"/>
      </w:tblGrid>
      <w:tr w:rsidR="001A5A88" w14:paraId="68487013" w14:textId="77777777" w:rsidTr="001A5A88">
        <w:tc>
          <w:tcPr>
            <w:tcW w:w="2669" w:type="dxa"/>
            <w:tcBorders>
              <w:top w:val="single" w:sz="8" w:space="0" w:color="DDDDDD"/>
              <w:left w:val="nil"/>
              <w:bottom w:val="single" w:sz="8" w:space="0" w:color="DDDDDD"/>
              <w:right w:val="nil"/>
            </w:tcBorders>
            <w:shd w:val="clear" w:color="auto" w:fill="F6F6F6"/>
            <w:vAlign w:val="center"/>
            <w:hideMark/>
          </w:tcPr>
          <w:p w14:paraId="42D83AE6" w14:textId="77777777" w:rsidR="001A5A88" w:rsidRDefault="001A5A88">
            <w:pPr>
              <w:spacing w:line="270" w:lineRule="atLeast"/>
              <w:rPr>
                <w:rFonts w:ascii="Arial" w:hAnsi="Arial" w:cs="Arial"/>
                <w:b/>
                <w:bCs/>
                <w:color w:val="666666"/>
                <w:sz w:val="20"/>
                <w:szCs w:val="20"/>
              </w:rPr>
            </w:pPr>
            <w:r>
              <w:rPr>
                <w:rFonts w:ascii="Arial" w:hAnsi="Arial" w:cs="Arial"/>
                <w:b/>
                <w:bCs/>
                <w:color w:val="666666"/>
                <w:sz w:val="20"/>
                <w:szCs w:val="20"/>
              </w:rPr>
              <w:t>Buy 1</w:t>
            </w:r>
          </w:p>
        </w:tc>
        <w:tc>
          <w:tcPr>
            <w:tcW w:w="4243" w:type="dxa"/>
            <w:tcBorders>
              <w:top w:val="single" w:sz="8" w:space="0" w:color="DDDDDD"/>
              <w:left w:val="nil"/>
              <w:bottom w:val="single" w:sz="8" w:space="0" w:color="DDDDDD"/>
              <w:right w:val="nil"/>
            </w:tcBorders>
            <w:shd w:val="clear" w:color="auto" w:fill="F6F6F6"/>
            <w:vAlign w:val="center"/>
            <w:hideMark/>
          </w:tcPr>
          <w:p w14:paraId="7C587333" w14:textId="77777777" w:rsidR="001A5A88" w:rsidRDefault="001A5A88">
            <w:pPr>
              <w:spacing w:line="270" w:lineRule="atLeast"/>
              <w:rPr>
                <w:rFonts w:ascii="Arial" w:hAnsi="Arial" w:cs="Arial"/>
                <w:b/>
                <w:bCs/>
                <w:color w:val="666666"/>
                <w:sz w:val="20"/>
                <w:szCs w:val="20"/>
              </w:rPr>
            </w:pPr>
            <w:r>
              <w:rPr>
                <w:rFonts w:ascii="Arial" w:hAnsi="Arial" w:cs="Arial"/>
                <w:b/>
                <w:bCs/>
                <w:color w:val="666666"/>
                <w:sz w:val="20"/>
                <w:szCs w:val="20"/>
              </w:rPr>
              <w:t>Save 5%</w:t>
            </w:r>
          </w:p>
        </w:tc>
      </w:tr>
      <w:tr w:rsidR="001A5A88" w14:paraId="307303E8" w14:textId="77777777" w:rsidTr="001A5A88">
        <w:tc>
          <w:tcPr>
            <w:tcW w:w="2669" w:type="dxa"/>
            <w:tcBorders>
              <w:top w:val="nil"/>
              <w:left w:val="nil"/>
              <w:bottom w:val="single" w:sz="8" w:space="0" w:color="DDDDDD"/>
              <w:right w:val="nil"/>
            </w:tcBorders>
            <w:shd w:val="clear" w:color="auto" w:fill="F6F6F6"/>
            <w:vAlign w:val="center"/>
            <w:hideMark/>
          </w:tcPr>
          <w:p w14:paraId="3E006F2E" w14:textId="77777777" w:rsidR="001A5A88" w:rsidRDefault="001A5A88">
            <w:pPr>
              <w:spacing w:line="270" w:lineRule="atLeast"/>
              <w:rPr>
                <w:rFonts w:ascii="Arial" w:hAnsi="Arial" w:cs="Arial"/>
                <w:b/>
                <w:bCs/>
                <w:color w:val="666666"/>
                <w:sz w:val="20"/>
                <w:szCs w:val="20"/>
              </w:rPr>
            </w:pPr>
            <w:r>
              <w:rPr>
                <w:rFonts w:ascii="Arial" w:hAnsi="Arial" w:cs="Arial"/>
                <w:b/>
                <w:bCs/>
                <w:color w:val="666666"/>
                <w:sz w:val="20"/>
                <w:szCs w:val="20"/>
              </w:rPr>
              <w:t>Buy 2</w:t>
            </w:r>
          </w:p>
        </w:tc>
        <w:tc>
          <w:tcPr>
            <w:tcW w:w="4243" w:type="dxa"/>
            <w:tcBorders>
              <w:top w:val="nil"/>
              <w:left w:val="nil"/>
              <w:bottom w:val="single" w:sz="8" w:space="0" w:color="DDDDDD"/>
              <w:right w:val="nil"/>
            </w:tcBorders>
            <w:shd w:val="clear" w:color="auto" w:fill="F6F6F6"/>
            <w:vAlign w:val="center"/>
            <w:hideMark/>
          </w:tcPr>
          <w:p w14:paraId="31B60F3A" w14:textId="3C8828DE" w:rsidR="001A5A88" w:rsidRDefault="001A5A88">
            <w:pPr>
              <w:spacing w:line="270" w:lineRule="atLeast"/>
              <w:rPr>
                <w:rFonts w:ascii="Arial" w:hAnsi="Arial" w:cs="Arial"/>
                <w:b/>
                <w:bCs/>
                <w:color w:val="666666"/>
                <w:sz w:val="20"/>
                <w:szCs w:val="20"/>
              </w:rPr>
            </w:pPr>
            <w:r>
              <w:rPr>
                <w:rFonts w:ascii="Arial" w:hAnsi="Arial" w:cs="Arial"/>
                <w:b/>
                <w:bCs/>
                <w:color w:val="666666"/>
                <w:sz w:val="20"/>
                <w:szCs w:val="20"/>
              </w:rPr>
              <w:t>Save 10%</w:t>
            </w:r>
          </w:p>
        </w:tc>
      </w:tr>
      <w:tr w:rsidR="001A5A88" w14:paraId="59AE495F" w14:textId="77777777" w:rsidTr="001A5A88">
        <w:tc>
          <w:tcPr>
            <w:tcW w:w="2669" w:type="dxa"/>
            <w:shd w:val="clear" w:color="auto" w:fill="FFFFFF"/>
            <w:vAlign w:val="center"/>
            <w:hideMark/>
          </w:tcPr>
          <w:p w14:paraId="47699AF8" w14:textId="77777777" w:rsidR="001A5A88" w:rsidRDefault="001A5A88">
            <w:pPr>
              <w:spacing w:line="270" w:lineRule="atLeast"/>
              <w:rPr>
                <w:rFonts w:ascii="Arial" w:hAnsi="Arial" w:cs="Arial"/>
                <w:b/>
                <w:bCs/>
                <w:color w:val="666666"/>
                <w:sz w:val="20"/>
                <w:szCs w:val="20"/>
              </w:rPr>
            </w:pPr>
            <w:r>
              <w:rPr>
                <w:rFonts w:ascii="Arial" w:hAnsi="Arial" w:cs="Arial"/>
                <w:b/>
                <w:bCs/>
                <w:color w:val="666666"/>
                <w:sz w:val="20"/>
                <w:szCs w:val="20"/>
              </w:rPr>
              <w:t>Buy 3-5</w:t>
            </w:r>
          </w:p>
        </w:tc>
        <w:tc>
          <w:tcPr>
            <w:tcW w:w="4243" w:type="dxa"/>
            <w:shd w:val="clear" w:color="auto" w:fill="FFFFFF"/>
            <w:vAlign w:val="center"/>
            <w:hideMark/>
          </w:tcPr>
          <w:p w14:paraId="396B0512" w14:textId="346B419F" w:rsidR="001A5A88" w:rsidRDefault="001A5A88">
            <w:pPr>
              <w:spacing w:line="270" w:lineRule="atLeast"/>
              <w:rPr>
                <w:rFonts w:ascii="Arial" w:hAnsi="Arial" w:cs="Arial"/>
                <w:b/>
                <w:bCs/>
                <w:color w:val="666666"/>
                <w:sz w:val="20"/>
                <w:szCs w:val="20"/>
              </w:rPr>
            </w:pPr>
            <w:r>
              <w:rPr>
                <w:rFonts w:ascii="Arial" w:hAnsi="Arial" w:cs="Arial"/>
                <w:b/>
                <w:bCs/>
                <w:color w:val="666666"/>
                <w:sz w:val="20"/>
                <w:szCs w:val="20"/>
              </w:rPr>
              <w:t>Save 15%</w:t>
            </w:r>
          </w:p>
        </w:tc>
      </w:tr>
      <w:tr w:rsidR="001A5A88" w14:paraId="61E4305B" w14:textId="77777777" w:rsidTr="001A5A88">
        <w:tc>
          <w:tcPr>
            <w:tcW w:w="2669" w:type="dxa"/>
            <w:tcBorders>
              <w:top w:val="single" w:sz="8" w:space="0" w:color="DDDDDD"/>
              <w:left w:val="nil"/>
              <w:bottom w:val="single" w:sz="8" w:space="0" w:color="DDDDDD"/>
              <w:right w:val="nil"/>
            </w:tcBorders>
            <w:shd w:val="clear" w:color="auto" w:fill="F6F6F6"/>
            <w:vAlign w:val="center"/>
            <w:hideMark/>
          </w:tcPr>
          <w:p w14:paraId="0E41A672" w14:textId="77777777" w:rsidR="001A5A88" w:rsidRDefault="001A5A88">
            <w:pPr>
              <w:spacing w:line="270" w:lineRule="atLeast"/>
              <w:rPr>
                <w:rFonts w:ascii="Arial" w:hAnsi="Arial" w:cs="Arial"/>
                <w:b/>
                <w:bCs/>
                <w:color w:val="666666"/>
                <w:sz w:val="20"/>
                <w:szCs w:val="20"/>
              </w:rPr>
            </w:pPr>
            <w:r>
              <w:rPr>
                <w:rFonts w:ascii="Arial" w:hAnsi="Arial" w:cs="Arial"/>
                <w:b/>
                <w:bCs/>
                <w:color w:val="666666"/>
                <w:sz w:val="20"/>
                <w:szCs w:val="20"/>
              </w:rPr>
              <w:t>Buy 6-10</w:t>
            </w:r>
          </w:p>
        </w:tc>
        <w:tc>
          <w:tcPr>
            <w:tcW w:w="4243" w:type="dxa"/>
            <w:tcBorders>
              <w:top w:val="single" w:sz="8" w:space="0" w:color="DDDDDD"/>
              <w:left w:val="nil"/>
              <w:bottom w:val="single" w:sz="8" w:space="0" w:color="DDDDDD"/>
              <w:right w:val="nil"/>
            </w:tcBorders>
            <w:shd w:val="clear" w:color="auto" w:fill="F6F6F6"/>
            <w:vAlign w:val="center"/>
            <w:hideMark/>
          </w:tcPr>
          <w:p w14:paraId="079B0A3B" w14:textId="662A009B" w:rsidR="001A5A88" w:rsidRDefault="001A5A88">
            <w:pPr>
              <w:spacing w:line="270" w:lineRule="atLeast"/>
              <w:rPr>
                <w:rFonts w:ascii="Arial" w:hAnsi="Arial" w:cs="Arial"/>
                <w:b/>
                <w:bCs/>
                <w:color w:val="666666"/>
                <w:sz w:val="20"/>
                <w:szCs w:val="20"/>
              </w:rPr>
            </w:pPr>
            <w:r>
              <w:rPr>
                <w:rFonts w:ascii="Arial" w:hAnsi="Arial" w:cs="Arial"/>
                <w:b/>
                <w:bCs/>
                <w:color w:val="666666"/>
                <w:sz w:val="20"/>
                <w:szCs w:val="20"/>
              </w:rPr>
              <w:t>Save 20%</w:t>
            </w:r>
          </w:p>
        </w:tc>
      </w:tr>
      <w:tr w:rsidR="001A5A88" w14:paraId="0A798D7B" w14:textId="77777777" w:rsidTr="001A5A88">
        <w:tc>
          <w:tcPr>
            <w:tcW w:w="2669" w:type="dxa"/>
            <w:shd w:val="clear" w:color="auto" w:fill="FFFFFF"/>
            <w:vAlign w:val="center"/>
            <w:hideMark/>
          </w:tcPr>
          <w:p w14:paraId="0A1FF25F" w14:textId="77777777" w:rsidR="001A5A88" w:rsidRDefault="001A5A88">
            <w:pPr>
              <w:spacing w:line="270" w:lineRule="atLeast"/>
              <w:rPr>
                <w:rFonts w:ascii="Arial" w:hAnsi="Arial" w:cs="Arial"/>
                <w:b/>
                <w:bCs/>
                <w:color w:val="666666"/>
                <w:sz w:val="20"/>
                <w:szCs w:val="20"/>
              </w:rPr>
            </w:pPr>
            <w:r>
              <w:rPr>
                <w:rFonts w:ascii="Arial" w:hAnsi="Arial" w:cs="Arial"/>
                <w:b/>
                <w:bCs/>
                <w:color w:val="666666"/>
                <w:sz w:val="20"/>
                <w:szCs w:val="20"/>
              </w:rPr>
              <w:t>Buy 11-20</w:t>
            </w:r>
          </w:p>
        </w:tc>
        <w:tc>
          <w:tcPr>
            <w:tcW w:w="4243" w:type="dxa"/>
            <w:shd w:val="clear" w:color="auto" w:fill="FFFFFF"/>
            <w:vAlign w:val="center"/>
            <w:hideMark/>
          </w:tcPr>
          <w:p w14:paraId="06A1DBCA" w14:textId="6BD691C7" w:rsidR="001A5A88" w:rsidRDefault="001A5A88">
            <w:pPr>
              <w:spacing w:line="270" w:lineRule="atLeast"/>
              <w:rPr>
                <w:rFonts w:ascii="Arial" w:hAnsi="Arial" w:cs="Arial"/>
                <w:b/>
                <w:bCs/>
                <w:color w:val="666666"/>
                <w:sz w:val="20"/>
                <w:szCs w:val="20"/>
              </w:rPr>
            </w:pPr>
            <w:r>
              <w:rPr>
                <w:rFonts w:ascii="Arial" w:hAnsi="Arial" w:cs="Arial"/>
                <w:b/>
                <w:bCs/>
                <w:color w:val="666666"/>
                <w:sz w:val="20"/>
                <w:szCs w:val="20"/>
              </w:rPr>
              <w:t>Save 22%</w:t>
            </w:r>
          </w:p>
        </w:tc>
      </w:tr>
      <w:tr w:rsidR="001A5A88" w14:paraId="3E60421B" w14:textId="77777777" w:rsidTr="001A5A88">
        <w:tc>
          <w:tcPr>
            <w:tcW w:w="2669" w:type="dxa"/>
            <w:tcBorders>
              <w:top w:val="single" w:sz="8" w:space="0" w:color="DDDDDD"/>
              <w:left w:val="nil"/>
              <w:bottom w:val="single" w:sz="8" w:space="0" w:color="DDDDDD"/>
              <w:right w:val="nil"/>
            </w:tcBorders>
            <w:shd w:val="clear" w:color="auto" w:fill="F6F6F6"/>
            <w:vAlign w:val="center"/>
            <w:hideMark/>
          </w:tcPr>
          <w:p w14:paraId="74356AE4" w14:textId="77777777" w:rsidR="001A5A88" w:rsidRDefault="001A5A88">
            <w:pPr>
              <w:spacing w:line="270" w:lineRule="atLeast"/>
              <w:rPr>
                <w:rFonts w:ascii="Arial" w:hAnsi="Arial" w:cs="Arial"/>
                <w:b/>
                <w:bCs/>
                <w:color w:val="666666"/>
                <w:sz w:val="20"/>
                <w:szCs w:val="20"/>
              </w:rPr>
            </w:pPr>
            <w:r>
              <w:rPr>
                <w:rFonts w:ascii="Arial" w:hAnsi="Arial" w:cs="Arial"/>
                <w:b/>
                <w:bCs/>
                <w:color w:val="666666"/>
                <w:sz w:val="20"/>
                <w:szCs w:val="20"/>
              </w:rPr>
              <w:t>Buy 21+</w:t>
            </w:r>
          </w:p>
        </w:tc>
        <w:tc>
          <w:tcPr>
            <w:tcW w:w="4243" w:type="dxa"/>
            <w:tcBorders>
              <w:top w:val="single" w:sz="8" w:space="0" w:color="DDDDDD"/>
              <w:left w:val="nil"/>
              <w:bottom w:val="single" w:sz="8" w:space="0" w:color="DDDDDD"/>
              <w:right w:val="nil"/>
            </w:tcBorders>
            <w:shd w:val="clear" w:color="auto" w:fill="F6F6F6"/>
            <w:vAlign w:val="center"/>
            <w:hideMark/>
          </w:tcPr>
          <w:p w14:paraId="4052AA69" w14:textId="16879219" w:rsidR="001A5A88" w:rsidRDefault="001A5A88">
            <w:pPr>
              <w:spacing w:line="270" w:lineRule="atLeast"/>
              <w:rPr>
                <w:rFonts w:ascii="Arial" w:hAnsi="Arial" w:cs="Arial"/>
                <w:b/>
                <w:bCs/>
                <w:color w:val="666666"/>
                <w:sz w:val="20"/>
                <w:szCs w:val="20"/>
              </w:rPr>
            </w:pPr>
            <w:r>
              <w:rPr>
                <w:rFonts w:ascii="Arial" w:hAnsi="Arial" w:cs="Arial"/>
                <w:b/>
                <w:bCs/>
                <w:color w:val="666666"/>
                <w:sz w:val="20"/>
                <w:szCs w:val="20"/>
              </w:rPr>
              <w:t>Save 25% ** Best Value! **</w:t>
            </w:r>
          </w:p>
        </w:tc>
      </w:tr>
    </w:tbl>
    <w:p w14:paraId="0DD4D5FC" w14:textId="77777777" w:rsidR="001A5A88" w:rsidRDefault="001A5A88" w:rsidP="001A5A88"/>
    <w:p w14:paraId="3921E5A9" w14:textId="0A0732EE" w:rsidR="001A5A88" w:rsidRDefault="002E7F3C" w:rsidP="001A5A88">
      <w:r>
        <w:t>Click</w:t>
      </w:r>
      <w:r w:rsidR="003A4F6F">
        <w:t xml:space="preserve"> </w:t>
      </w:r>
      <w:hyperlink r:id="rId7" w:history="1">
        <w:r w:rsidR="003A4F6F">
          <w:rPr>
            <w:rStyle w:val="Hyperlink"/>
          </w:rPr>
          <w:t>HERE</w:t>
        </w:r>
      </w:hyperlink>
      <w:r w:rsidR="001A5A88">
        <w:t xml:space="preserve"> to place your order, or mention promo code </w:t>
      </w:r>
      <w:r w:rsidR="003A4F6F">
        <w:rPr>
          <w:b/>
          <w:bCs/>
          <w:sz w:val="32"/>
          <w:szCs w:val="32"/>
        </w:rPr>
        <w:t>Q498</w:t>
      </w:r>
      <w:r w:rsidR="001A5A88">
        <w:rPr>
          <w:b/>
          <w:bCs/>
          <w:sz w:val="32"/>
          <w:szCs w:val="32"/>
        </w:rPr>
        <w:t xml:space="preserve"> and </w:t>
      </w:r>
      <w:r w:rsidR="003A4F6F">
        <w:rPr>
          <w:b/>
          <w:bCs/>
          <w:sz w:val="32"/>
          <w:szCs w:val="32"/>
        </w:rPr>
        <w:t>AFWA</w:t>
      </w:r>
      <w:r w:rsidR="001A5A88">
        <w:rPr>
          <w:b/>
          <w:bCs/>
          <w:sz w:val="32"/>
          <w:szCs w:val="32"/>
        </w:rPr>
        <w:t xml:space="preserve"> </w:t>
      </w:r>
      <w:r w:rsidR="001A5A88">
        <w:t xml:space="preserve">when placing order over the phone or on the </w:t>
      </w:r>
      <w:proofErr w:type="spellStart"/>
      <w:r w:rsidR="001A5A88">
        <w:t>eStore</w:t>
      </w:r>
      <w:proofErr w:type="spellEnd"/>
      <w:r w:rsidR="001A5A88">
        <w:t>!  Remember to use your code so your association receives a donation for each product purchased and you receive your discount.  *FREE shipping on orders of 3 or more products expires June 30!</w:t>
      </w:r>
    </w:p>
    <w:p w14:paraId="0D50FE8C" w14:textId="7741E9FE" w:rsidR="001A5A88" w:rsidRDefault="001A5A88" w:rsidP="001A5A88">
      <w:pPr>
        <w:rPr>
          <w:color w:val="0000FF"/>
          <w:u w:val="single"/>
        </w:rPr>
      </w:pPr>
    </w:p>
    <w:p w14:paraId="386E2471" w14:textId="5502B68A" w:rsidR="001A5A88" w:rsidRDefault="00F4730B" w:rsidP="001A5A88">
      <w:pPr>
        <w:rPr>
          <w:rStyle w:val="Strong"/>
          <w:b w:val="0"/>
          <w:sz w:val="28"/>
          <w:szCs w:val="28"/>
        </w:rPr>
      </w:pPr>
      <w:hyperlink r:id="rId8" w:history="1">
        <w:r w:rsidR="001A5A88">
          <w:rPr>
            <w:rStyle w:val="Hyperlink"/>
            <w:sz w:val="28"/>
            <w:szCs w:val="28"/>
          </w:rPr>
          <w:t>Access a FREE Tax Cuts and Jobs Act (TCJA) Toolkit from Thomson Reuters!</w:t>
        </w:r>
      </w:hyperlink>
    </w:p>
    <w:p w14:paraId="7478CBCE" w14:textId="77777777" w:rsidR="001A5A88" w:rsidRDefault="001A5A88" w:rsidP="001A5A88">
      <w:pPr>
        <w:rPr>
          <w:rFonts w:ascii="Arial" w:hAnsi="Arial" w:cs="Arial"/>
        </w:rPr>
      </w:pPr>
    </w:p>
    <w:p w14:paraId="592F85FC" w14:textId="77777777" w:rsidR="001A5A88" w:rsidRDefault="001A5A88" w:rsidP="001A5A88">
      <w:pPr>
        <w:rPr>
          <w:rFonts w:ascii="Arial" w:hAnsi="Arial" w:cs="Arial"/>
        </w:rPr>
      </w:pPr>
    </w:p>
    <w:p w14:paraId="0F3400F9" w14:textId="730688AA" w:rsidR="001A5A88" w:rsidRDefault="001A5A88" w:rsidP="001A5A88">
      <w:pPr>
        <w:rPr>
          <w:rFonts w:ascii="Arial" w:eastAsia="Times New Roman" w:hAnsi="Arial" w:cs="Arial"/>
        </w:rPr>
      </w:pPr>
      <w:r>
        <w:rPr>
          <w:rFonts w:ascii="Arial" w:hAnsi="Arial" w:cs="Arial"/>
        </w:rPr>
        <w:t xml:space="preserve">With tax season in the rear-view mirror, the focus shifts to helping clients understand the impact of the Tax Cuts and Jobs Act (TCJA) and optimize their tax position. That is no small task given there are over 130 new tax provisions. To help you navigate the changes and identify opportunities that will benefit your clients, we want to provide you with our complimentary “TCJA Toolkit”. </w:t>
      </w:r>
      <w:bookmarkStart w:id="1" w:name="_Hlk515987545"/>
      <w:r>
        <w:rPr>
          <w:rFonts w:ascii="Arial" w:hAnsi="Arial" w:cs="Arial"/>
        </w:rPr>
        <w:t xml:space="preserve">This toolkit </w:t>
      </w:r>
      <w:bookmarkEnd w:id="1"/>
      <w:r>
        <w:rPr>
          <w:rFonts w:ascii="Arial" w:hAnsi="Arial" w:cs="Arial"/>
        </w:rPr>
        <w:t xml:space="preserve">includes valuable resources to get up to speed on new tax-saving strategies, so you can confidently advise clients on the new law.  </w:t>
      </w:r>
    </w:p>
    <w:p w14:paraId="5915FD90" w14:textId="77777777" w:rsidR="001A5A88" w:rsidRDefault="001A5A88" w:rsidP="001A5A88">
      <w:pPr>
        <w:rPr>
          <w:rFonts w:ascii="Arial" w:hAnsi="Arial" w:cs="Arial"/>
        </w:rPr>
      </w:pPr>
    </w:p>
    <w:p w14:paraId="3BAD647D" w14:textId="469F43A7" w:rsidR="001A5A88" w:rsidRDefault="001A5A88" w:rsidP="001A5A88">
      <w:pPr>
        <w:rPr>
          <w:rFonts w:ascii="Arial" w:hAnsi="Arial" w:cs="Arial"/>
          <w:sz w:val="24"/>
          <w:szCs w:val="24"/>
        </w:rPr>
      </w:pPr>
      <w:r>
        <w:rPr>
          <w:rFonts w:ascii="Arial" w:hAnsi="Arial" w:cs="Arial"/>
          <w:sz w:val="24"/>
          <w:szCs w:val="24"/>
        </w:rPr>
        <w:t>The “TCJA Toolkit” includes:</w:t>
      </w:r>
    </w:p>
    <w:p w14:paraId="05F4EDD3" w14:textId="77777777" w:rsidR="001A5A88" w:rsidRDefault="001A5A88" w:rsidP="001A5A88">
      <w:pPr>
        <w:rPr>
          <w:rFonts w:ascii="Arial" w:hAnsi="Arial" w:cs="Arial"/>
          <w:sz w:val="24"/>
          <w:szCs w:val="24"/>
        </w:rPr>
      </w:pPr>
    </w:p>
    <w:p w14:paraId="20546609" w14:textId="77777777" w:rsidR="001A5A88" w:rsidRDefault="001A5A88" w:rsidP="001A5A88">
      <w:pPr>
        <w:numPr>
          <w:ilvl w:val="0"/>
          <w:numId w:val="1"/>
        </w:numPr>
        <w:ind w:left="360"/>
        <w:rPr>
          <w:rFonts w:ascii="Arial" w:hAnsi="Arial" w:cs="Arial"/>
          <w:sz w:val="24"/>
          <w:szCs w:val="24"/>
        </w:rPr>
      </w:pPr>
      <w:r>
        <w:rPr>
          <w:rFonts w:ascii="Arial" w:hAnsi="Arial" w:cs="Arial"/>
          <w:sz w:val="24"/>
          <w:szCs w:val="24"/>
        </w:rPr>
        <w:t xml:space="preserve">Special Report on the Qualified Business Income Deduction – Specified Service Providers.  </w:t>
      </w:r>
    </w:p>
    <w:p w14:paraId="60DB2B74" w14:textId="77777777" w:rsidR="001A5A88" w:rsidRDefault="001A5A88" w:rsidP="001A5A88">
      <w:pPr>
        <w:numPr>
          <w:ilvl w:val="0"/>
          <w:numId w:val="1"/>
        </w:numPr>
        <w:ind w:left="360"/>
        <w:rPr>
          <w:rFonts w:ascii="Arial" w:hAnsi="Arial" w:cs="Arial"/>
          <w:sz w:val="24"/>
          <w:szCs w:val="24"/>
        </w:rPr>
      </w:pPr>
      <w:r>
        <w:rPr>
          <w:rFonts w:ascii="Arial" w:hAnsi="Arial" w:cs="Arial"/>
          <w:sz w:val="24"/>
          <w:szCs w:val="24"/>
        </w:rPr>
        <w:t>Individual tax planning checklist</w:t>
      </w:r>
    </w:p>
    <w:p w14:paraId="531EE638" w14:textId="77777777" w:rsidR="001A5A88" w:rsidRDefault="001A5A88" w:rsidP="001A5A88">
      <w:pPr>
        <w:numPr>
          <w:ilvl w:val="0"/>
          <w:numId w:val="1"/>
        </w:numPr>
        <w:ind w:left="360"/>
        <w:rPr>
          <w:rFonts w:ascii="Arial" w:hAnsi="Arial" w:cs="Arial"/>
          <w:sz w:val="24"/>
          <w:szCs w:val="24"/>
        </w:rPr>
      </w:pPr>
      <w:r>
        <w:rPr>
          <w:rFonts w:ascii="Arial" w:hAnsi="Arial" w:cs="Arial"/>
          <w:sz w:val="24"/>
          <w:szCs w:val="24"/>
        </w:rPr>
        <w:t xml:space="preserve">Qualified Business Income Deduction planning checklist. </w:t>
      </w:r>
    </w:p>
    <w:p w14:paraId="6372CD74" w14:textId="77777777" w:rsidR="001A5A88" w:rsidRDefault="001A5A88" w:rsidP="001A5A88">
      <w:pPr>
        <w:numPr>
          <w:ilvl w:val="0"/>
          <w:numId w:val="1"/>
        </w:numPr>
        <w:ind w:left="360"/>
        <w:rPr>
          <w:rFonts w:ascii="Arial" w:hAnsi="Arial" w:cs="Arial"/>
          <w:sz w:val="24"/>
          <w:szCs w:val="24"/>
        </w:rPr>
      </w:pPr>
      <w:r>
        <w:rPr>
          <w:rFonts w:ascii="Arial" w:hAnsi="Arial" w:cs="Arial"/>
          <w:sz w:val="24"/>
          <w:szCs w:val="24"/>
        </w:rPr>
        <w:t xml:space="preserve">A client letter explaining changes most important to them. </w:t>
      </w:r>
    </w:p>
    <w:p w14:paraId="4640D68C" w14:textId="77777777" w:rsidR="001A5A88" w:rsidRDefault="001A5A88" w:rsidP="001A5A88">
      <w:pPr>
        <w:numPr>
          <w:ilvl w:val="0"/>
          <w:numId w:val="1"/>
        </w:numPr>
        <w:ind w:left="360"/>
        <w:rPr>
          <w:rFonts w:ascii="Arial" w:hAnsi="Arial" w:cs="Arial"/>
          <w:sz w:val="24"/>
          <w:szCs w:val="24"/>
        </w:rPr>
      </w:pPr>
      <w:r>
        <w:rPr>
          <w:rFonts w:ascii="Arial" w:hAnsi="Arial" w:cs="Arial"/>
          <w:sz w:val="24"/>
          <w:szCs w:val="24"/>
        </w:rPr>
        <w:t>A video to share with your staff that discusses the Top Five Tax Planning Opportunities for Individuals in 2018</w:t>
      </w:r>
    </w:p>
    <w:p w14:paraId="407398EB" w14:textId="77777777" w:rsidR="001A5A88" w:rsidRDefault="001A5A88" w:rsidP="001A5A88">
      <w:pPr>
        <w:numPr>
          <w:ilvl w:val="0"/>
          <w:numId w:val="1"/>
        </w:numPr>
        <w:ind w:left="360"/>
        <w:rPr>
          <w:rFonts w:ascii="Arial" w:hAnsi="Arial" w:cs="Arial"/>
          <w:sz w:val="24"/>
          <w:szCs w:val="24"/>
        </w:rPr>
      </w:pPr>
      <w:r>
        <w:rPr>
          <w:rFonts w:ascii="Arial" w:hAnsi="Arial" w:cs="Arial"/>
          <w:sz w:val="24"/>
          <w:szCs w:val="24"/>
        </w:rPr>
        <w:t xml:space="preserve">A chart comparing </w:t>
      </w:r>
      <w:r>
        <w:rPr>
          <w:rFonts w:ascii="Arial" w:hAnsi="Arial" w:cs="Arial"/>
          <w:bCs/>
          <w:sz w:val="24"/>
          <w:szCs w:val="24"/>
        </w:rPr>
        <w:t>Section 179 Expense and 100% Bonus Depreciation</w:t>
      </w:r>
    </w:p>
    <w:p w14:paraId="2DBE43F7" w14:textId="77777777" w:rsidR="001A5A88" w:rsidRDefault="001A5A88" w:rsidP="001A5A88">
      <w:pPr>
        <w:numPr>
          <w:ilvl w:val="0"/>
          <w:numId w:val="1"/>
        </w:numPr>
        <w:ind w:left="360"/>
        <w:rPr>
          <w:rFonts w:ascii="Arial" w:hAnsi="Arial" w:cs="Arial"/>
          <w:sz w:val="24"/>
          <w:szCs w:val="24"/>
        </w:rPr>
      </w:pPr>
      <w:r>
        <w:rPr>
          <w:rFonts w:ascii="Arial" w:hAnsi="Arial" w:cs="Arial"/>
          <w:bCs/>
          <w:sz w:val="24"/>
          <w:szCs w:val="24"/>
        </w:rPr>
        <w:t xml:space="preserve">Section 199A Qualified Business Income (QBI) Deduction Flowchart so you can easily determine if clients are eligible for the deduction.  </w:t>
      </w:r>
    </w:p>
    <w:p w14:paraId="77423757" w14:textId="77777777" w:rsidR="001A5A88" w:rsidRDefault="001A5A88" w:rsidP="001A5A88">
      <w:pPr>
        <w:numPr>
          <w:ilvl w:val="0"/>
          <w:numId w:val="1"/>
        </w:numPr>
        <w:ind w:left="360"/>
        <w:rPr>
          <w:rFonts w:ascii="Arial" w:hAnsi="Arial" w:cs="Arial"/>
          <w:sz w:val="24"/>
          <w:szCs w:val="24"/>
        </w:rPr>
      </w:pPr>
      <w:r>
        <w:rPr>
          <w:rFonts w:ascii="Arial" w:hAnsi="Arial" w:cs="Arial"/>
          <w:sz w:val="24"/>
          <w:szCs w:val="24"/>
        </w:rPr>
        <w:t>A table explaining the k</w:t>
      </w:r>
      <w:r>
        <w:rPr>
          <w:rFonts w:ascii="Arial" w:hAnsi="Arial" w:cs="Arial"/>
          <w:bCs/>
          <w:sz w:val="24"/>
          <w:szCs w:val="24"/>
        </w:rPr>
        <w:t>ey Tax Cuts and Jobs Act (TCJA) Changes to Fringe Benefits</w:t>
      </w:r>
    </w:p>
    <w:p w14:paraId="4251F1ED" w14:textId="77777777" w:rsidR="001A5A88" w:rsidRDefault="001A5A88" w:rsidP="001A5A88">
      <w:pPr>
        <w:numPr>
          <w:ilvl w:val="0"/>
          <w:numId w:val="1"/>
        </w:numPr>
        <w:ind w:left="360"/>
        <w:rPr>
          <w:rFonts w:ascii="Arial" w:hAnsi="Arial" w:cs="Arial"/>
          <w:sz w:val="24"/>
          <w:szCs w:val="24"/>
        </w:rPr>
      </w:pPr>
      <w:r>
        <w:rPr>
          <w:rFonts w:ascii="Arial" w:hAnsi="Arial" w:cs="Arial"/>
          <w:sz w:val="24"/>
          <w:szCs w:val="24"/>
        </w:rPr>
        <w:t xml:space="preserve">Four tax law summaries: Individual tax provisions, Entity Specific tax provisions, Business tax provisions, and International provisions </w:t>
      </w:r>
    </w:p>
    <w:p w14:paraId="5CBAEB89" w14:textId="77777777" w:rsidR="001A5A88" w:rsidRDefault="001A5A88" w:rsidP="001A5A88">
      <w:pPr>
        <w:numPr>
          <w:ilvl w:val="0"/>
          <w:numId w:val="1"/>
        </w:numPr>
        <w:ind w:left="360"/>
        <w:rPr>
          <w:rFonts w:ascii="Arial" w:hAnsi="Arial" w:cs="Arial"/>
          <w:sz w:val="24"/>
          <w:szCs w:val="24"/>
        </w:rPr>
      </w:pPr>
      <w:r>
        <w:rPr>
          <w:rFonts w:ascii="Arial" w:hAnsi="Arial" w:cs="Arial"/>
          <w:sz w:val="24"/>
          <w:szCs w:val="24"/>
        </w:rPr>
        <w:t>Information on TCJA seminars, webinars and online courses that help you and your staff understand the many complexities of TCJA.</w:t>
      </w:r>
    </w:p>
    <w:p w14:paraId="09EAC9D4" w14:textId="77777777" w:rsidR="001A5A88" w:rsidRDefault="001A5A88" w:rsidP="001A5A88">
      <w:pPr>
        <w:rPr>
          <w:rFonts w:ascii="Arial" w:hAnsi="Arial" w:cs="Arial"/>
          <w:sz w:val="24"/>
          <w:szCs w:val="24"/>
        </w:rPr>
      </w:pPr>
    </w:p>
    <w:p w14:paraId="0F4D8271" w14:textId="68F25271" w:rsidR="001A5A88" w:rsidRDefault="001A5A88" w:rsidP="001A5A88">
      <w:pPr>
        <w:rPr>
          <w:rFonts w:ascii="Arial" w:hAnsi="Arial" w:cs="Arial"/>
          <w:sz w:val="24"/>
          <w:szCs w:val="24"/>
        </w:rPr>
      </w:pPr>
      <w:r>
        <w:rPr>
          <w:rFonts w:ascii="Arial" w:hAnsi="Arial" w:cs="Arial"/>
          <w:sz w:val="24"/>
          <w:szCs w:val="24"/>
        </w:rPr>
        <w:t xml:space="preserve">Click </w:t>
      </w:r>
      <w:hyperlink r:id="rId9" w:history="1">
        <w:r>
          <w:rPr>
            <w:rStyle w:val="Hyperlink"/>
            <w:rFonts w:ascii="Arial" w:hAnsi="Arial" w:cs="Arial"/>
            <w:sz w:val="24"/>
            <w:szCs w:val="24"/>
          </w:rPr>
          <w:t>here</w:t>
        </w:r>
      </w:hyperlink>
      <w:r>
        <w:rPr>
          <w:rFonts w:ascii="Arial" w:hAnsi="Arial" w:cs="Arial"/>
          <w:sz w:val="24"/>
          <w:szCs w:val="24"/>
        </w:rPr>
        <w:t xml:space="preserve"> to access your complimentary TCJA Toolkit today!</w:t>
      </w:r>
    </w:p>
    <w:p w14:paraId="36BAAAC3" w14:textId="77777777" w:rsidR="001A5A88" w:rsidRDefault="001A5A88" w:rsidP="001A5A88">
      <w:pPr>
        <w:rPr>
          <w:color w:val="0000FF"/>
          <w:u w:val="single"/>
        </w:rPr>
      </w:pPr>
    </w:p>
    <w:p w14:paraId="5F0CF35D" w14:textId="77777777" w:rsidR="002A7AD6" w:rsidRPr="001A5A88" w:rsidRDefault="002A7AD6" w:rsidP="001A5A88"/>
    <w:sectPr w:rsidR="002A7AD6" w:rsidRPr="001A5A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E4671"/>
    <w:multiLevelType w:val="hybridMultilevel"/>
    <w:tmpl w:val="41D4D0C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A88"/>
    <w:rsid w:val="001A5A88"/>
    <w:rsid w:val="002A7AD6"/>
    <w:rsid w:val="002E7F3C"/>
    <w:rsid w:val="003A4F6F"/>
    <w:rsid w:val="00425223"/>
    <w:rsid w:val="006E5CCF"/>
    <w:rsid w:val="00A909A3"/>
    <w:rsid w:val="00B875E9"/>
    <w:rsid w:val="00BA0C14"/>
    <w:rsid w:val="00DB7CE2"/>
    <w:rsid w:val="00F47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163ED"/>
  <w15:chartTrackingRefBased/>
  <w15:docId w15:val="{49558EE7-F8C9-45FB-BD1E-44A5A373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5A88"/>
    <w:rPr>
      <w:rFonts w:ascii="Calibri" w:eastAsiaTheme="minorHAns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A88"/>
    <w:rPr>
      <w:color w:val="0000FF"/>
      <w:u w:val="single"/>
    </w:rPr>
  </w:style>
  <w:style w:type="character" w:styleId="Strong">
    <w:name w:val="Strong"/>
    <w:basedOn w:val="DefaultParagraphFont"/>
    <w:uiPriority w:val="22"/>
    <w:qFormat/>
    <w:rsid w:val="001A5A88"/>
    <w:rPr>
      <w:b/>
      <w:bCs/>
    </w:rPr>
  </w:style>
  <w:style w:type="character" w:styleId="UnresolvedMention">
    <w:name w:val="Unresolved Mention"/>
    <w:basedOn w:val="DefaultParagraphFont"/>
    <w:uiPriority w:val="99"/>
    <w:semiHidden/>
    <w:unhideWhenUsed/>
    <w:rsid w:val="004252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833854">
      <w:bodyDiv w:val="1"/>
      <w:marLeft w:val="0"/>
      <w:marRight w:val="0"/>
      <w:marTop w:val="0"/>
      <w:marBottom w:val="0"/>
      <w:divBdr>
        <w:top w:val="none" w:sz="0" w:space="0" w:color="auto"/>
        <w:left w:val="none" w:sz="0" w:space="0" w:color="auto"/>
        <w:bottom w:val="none" w:sz="0" w:space="0" w:color="auto"/>
        <w:right w:val="none" w:sz="0" w:space="0" w:color="auto"/>
      </w:divBdr>
    </w:div>
    <w:div w:id="201360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x.thomsonreuters.com/tax-reform/tcja-toolkit/?&amp;utm_source=Q498" TargetMode="External"/><Relationship Id="rId3" Type="http://schemas.openxmlformats.org/officeDocument/2006/relationships/settings" Target="settings.xml"/><Relationship Id="rId7" Type="http://schemas.openxmlformats.org/officeDocument/2006/relationships/hyperlink" Target="https://store.tax.thomsonreuters.com/accounting/quickfinder-associations?ptpc=Q498&amp;utm_campaign=cp-quickfinder_association-byob&amp;utm_medium=direct-url&amp;utm_source=association&amp;utm_content=Q4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hyperlink" Target="https://store.tax.thomsonreuters.com/accounting/quickfinder-associations?ptpc=Q498&amp;utm_campaign=cp-quickfinder_association-byob&amp;utm_medium=direct-url&amp;utm_source=association&amp;utm_content=Q49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x.thomsonreuters.com/tax-reform/tcja-toolkit/?&amp;utm_source=Q4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Elizabeth (Tax&amp;Accounting)</dc:creator>
  <cp:keywords/>
  <dc:description/>
  <cp:lastModifiedBy>Deborah Williams</cp:lastModifiedBy>
  <cp:revision>2</cp:revision>
  <dcterms:created xsi:type="dcterms:W3CDTF">2018-06-20T15:50:00Z</dcterms:created>
  <dcterms:modified xsi:type="dcterms:W3CDTF">2018-06-20T15:50:00Z</dcterms:modified>
</cp:coreProperties>
</file>